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Look w:val="01E0" w:firstRow="1" w:lastRow="1" w:firstColumn="1" w:lastColumn="1" w:noHBand="0" w:noVBand="0"/>
      </w:tblPr>
      <w:tblGrid>
        <w:gridCol w:w="3510"/>
        <w:gridCol w:w="6570"/>
      </w:tblGrid>
      <w:tr w:rsidR="00F102BD" w:rsidRPr="00CD72F3" w:rsidTr="005D005F">
        <w:tc>
          <w:tcPr>
            <w:tcW w:w="3510" w:type="dxa"/>
          </w:tcPr>
          <w:p w:rsidR="00F102BD" w:rsidRPr="00CD72F3" w:rsidRDefault="00172A86" w:rsidP="005D005F">
            <w:pPr>
              <w:jc w:val="center"/>
              <w:rPr>
                <w:b/>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701675</wp:posOffset>
                      </wp:positionH>
                      <wp:positionV relativeFrom="paragraph">
                        <wp:posOffset>238125</wp:posOffset>
                      </wp:positionV>
                      <wp:extent cx="571500" cy="0"/>
                      <wp:effectExtent l="6350" t="9525" r="1270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8.75pt" to="100.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Sj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"/>
                  </w:pict>
                </mc:Fallback>
              </mc:AlternateContent>
            </w:r>
            <w:r w:rsidR="00F102BD" w:rsidRPr="00CD72F3">
              <w:rPr>
                <w:b/>
                <w:sz w:val="28"/>
                <w:szCs w:val="28"/>
              </w:rPr>
              <w:t>BỘ TƯ PHÁP</w:t>
            </w:r>
          </w:p>
        </w:tc>
        <w:tc>
          <w:tcPr>
            <w:tcW w:w="6570" w:type="dxa"/>
          </w:tcPr>
          <w:p w:rsidR="00F102BD" w:rsidRPr="00CD72F3" w:rsidRDefault="00F102BD" w:rsidP="005D005F">
            <w:pPr>
              <w:rPr>
                <w:b/>
                <w:szCs w:val="28"/>
              </w:rPr>
            </w:pPr>
            <w:r w:rsidRPr="00CD72F3">
              <w:rPr>
                <w:b/>
                <w:sz w:val="28"/>
                <w:szCs w:val="28"/>
              </w:rPr>
              <w:t>CỘNG HÒA XÃ HỘI CHỦ NGHĨA VIỆT NAM</w:t>
            </w:r>
          </w:p>
          <w:p w:rsidR="00F102BD" w:rsidRPr="00CD72F3" w:rsidRDefault="00F102BD" w:rsidP="005D005F">
            <w:pPr>
              <w:jc w:val="center"/>
              <w:rPr>
                <w:b/>
                <w:szCs w:val="28"/>
              </w:rPr>
            </w:pPr>
            <w:r w:rsidRPr="00CD72F3">
              <w:rPr>
                <w:b/>
                <w:sz w:val="28"/>
                <w:szCs w:val="28"/>
              </w:rPr>
              <w:t>Độc lập – Tự do – Hạnh phúc</w:t>
            </w:r>
          </w:p>
        </w:tc>
      </w:tr>
      <w:tr w:rsidR="00F102BD" w:rsidRPr="00CD72F3" w:rsidTr="005D005F">
        <w:tc>
          <w:tcPr>
            <w:tcW w:w="3510" w:type="dxa"/>
          </w:tcPr>
          <w:p w:rsidR="00F102BD" w:rsidRPr="00CD72F3" w:rsidRDefault="00F102BD" w:rsidP="005D005F">
            <w:pPr>
              <w:spacing w:before="120"/>
              <w:jc w:val="center"/>
              <w:rPr>
                <w:szCs w:val="28"/>
              </w:rPr>
            </w:pPr>
            <w:r w:rsidRPr="00CD72F3">
              <w:rPr>
                <w:sz w:val="28"/>
                <w:szCs w:val="28"/>
              </w:rPr>
              <w:t xml:space="preserve">Số: </w:t>
            </w:r>
            <w:r w:rsidR="00A47BB8">
              <w:rPr>
                <w:sz w:val="28"/>
                <w:szCs w:val="28"/>
              </w:rPr>
              <w:t>177</w:t>
            </w:r>
            <w:r w:rsidRPr="00CD72F3">
              <w:rPr>
                <w:sz w:val="28"/>
                <w:szCs w:val="28"/>
              </w:rPr>
              <w:t>/BTP-VĐCXDPL</w:t>
            </w:r>
          </w:p>
          <w:p w:rsidR="00F102BD" w:rsidRPr="00CD72F3" w:rsidRDefault="00F102BD" w:rsidP="005D005F">
            <w:pPr>
              <w:spacing w:before="120"/>
              <w:jc w:val="center"/>
            </w:pPr>
            <w:r w:rsidRPr="00CD72F3">
              <w:rPr>
                <w:sz w:val="22"/>
                <w:szCs w:val="22"/>
              </w:rPr>
              <w:t>V/v công bố hết hiệu lực văn bản quy phạm pháp luật về điều kiện đầu tư kinh doanh lĩnh vực an toàn thực phẩm thuộc quản lý của Bộ Y tế</w:t>
            </w:r>
          </w:p>
        </w:tc>
        <w:tc>
          <w:tcPr>
            <w:tcW w:w="6570" w:type="dxa"/>
          </w:tcPr>
          <w:p w:rsidR="00F102BD" w:rsidRPr="00CD72F3" w:rsidRDefault="00172A86" w:rsidP="00A47BB8">
            <w:pPr>
              <w:spacing w:before="120"/>
              <w:jc w:val="center"/>
              <w:rPr>
                <w:i/>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959485</wp:posOffset>
                      </wp:positionH>
                      <wp:positionV relativeFrom="paragraph">
                        <wp:posOffset>3810</wp:posOffset>
                      </wp:positionV>
                      <wp:extent cx="2085340" cy="0"/>
                      <wp:effectExtent l="6985" t="13335" r="1270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5pt,.3pt" to="23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29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"/>
                  </w:pict>
                </mc:Fallback>
              </mc:AlternateContent>
            </w:r>
            <w:r w:rsidR="00F102BD" w:rsidRPr="00CD72F3">
              <w:rPr>
                <w:i/>
                <w:sz w:val="28"/>
                <w:szCs w:val="28"/>
              </w:rPr>
              <w:t xml:space="preserve">Hà Nội, ngày </w:t>
            </w:r>
            <w:r w:rsidR="00A47BB8">
              <w:rPr>
                <w:i/>
                <w:sz w:val="28"/>
                <w:szCs w:val="28"/>
              </w:rPr>
              <w:t>18</w:t>
            </w:r>
            <w:r w:rsidR="00F102BD" w:rsidRPr="00CD72F3">
              <w:rPr>
                <w:i/>
                <w:sz w:val="28"/>
                <w:szCs w:val="28"/>
              </w:rPr>
              <w:t xml:space="preserve"> tháng 01 năm 2017</w:t>
            </w:r>
          </w:p>
        </w:tc>
      </w:tr>
    </w:tbl>
    <w:p w:rsidR="00F102BD" w:rsidRPr="00CD72F3" w:rsidRDefault="00F102BD" w:rsidP="00F102BD">
      <w:pPr>
        <w:spacing w:before="120" w:after="120"/>
        <w:ind w:firstLine="720"/>
        <w:jc w:val="both"/>
        <w:rPr>
          <w:sz w:val="28"/>
          <w:szCs w:val="28"/>
        </w:rPr>
      </w:pPr>
      <w:r w:rsidRPr="00CD72F3">
        <w:rPr>
          <w:sz w:val="28"/>
          <w:szCs w:val="28"/>
        </w:rPr>
        <w:t xml:space="preserve">           </w:t>
      </w:r>
    </w:p>
    <w:p w:rsidR="00F102BD" w:rsidRDefault="00F102BD" w:rsidP="00F102BD">
      <w:pPr>
        <w:spacing w:before="120" w:after="120"/>
        <w:jc w:val="center"/>
        <w:rPr>
          <w:sz w:val="28"/>
          <w:szCs w:val="28"/>
        </w:rPr>
      </w:pPr>
      <w:r w:rsidRPr="00CD72F3">
        <w:rPr>
          <w:sz w:val="28"/>
          <w:szCs w:val="28"/>
        </w:rPr>
        <w:t>Kính gửi: Bộ Y tế</w:t>
      </w:r>
    </w:p>
    <w:p w:rsidR="00A47BB8" w:rsidRPr="00CD72F3" w:rsidRDefault="00A47BB8" w:rsidP="00F102BD">
      <w:pPr>
        <w:spacing w:before="120" w:after="120"/>
        <w:jc w:val="center"/>
        <w:rPr>
          <w:sz w:val="28"/>
          <w:szCs w:val="28"/>
        </w:rPr>
      </w:pPr>
    </w:p>
    <w:p w:rsidR="00F102BD" w:rsidRPr="004E12EE" w:rsidRDefault="00F102BD" w:rsidP="00F102BD">
      <w:pPr>
        <w:spacing w:before="120" w:after="120" w:line="300" w:lineRule="atLeast"/>
        <w:ind w:firstLine="709"/>
        <w:jc w:val="both"/>
        <w:rPr>
          <w:sz w:val="28"/>
          <w:szCs w:val="28"/>
        </w:rPr>
      </w:pPr>
      <w:r w:rsidRPr="004E12EE">
        <w:rPr>
          <w:sz w:val="28"/>
          <w:szCs w:val="28"/>
        </w:rPr>
        <w:t xml:space="preserve">Trả lời Công văn số 8855/BYT-PC ngày 13/12/2016 của Bộ Y tế xin ý kiến về việc </w:t>
      </w:r>
      <w:r w:rsidRPr="00CD72F3">
        <w:rPr>
          <w:spacing w:val="-4"/>
          <w:sz w:val="28"/>
          <w:szCs w:val="28"/>
        </w:rPr>
        <w:t xml:space="preserve">công bố hết hiệu lực </w:t>
      </w:r>
      <w:r>
        <w:rPr>
          <w:spacing w:val="-4"/>
          <w:sz w:val="28"/>
          <w:szCs w:val="28"/>
        </w:rPr>
        <w:t>văn bản quy phạm pháp luật về điều kiện đầu tư kinh doanh lĩnh vực an toàn thực phẩm thuộc phạm vi quản lý của Bộ Y tế,</w:t>
      </w:r>
      <w:r w:rsidRPr="004E12EE">
        <w:rPr>
          <w:sz w:val="28"/>
          <w:szCs w:val="28"/>
        </w:rPr>
        <w:t xml:space="preserve"> Bộ Tư pháp có ý kiến như sau: </w:t>
      </w:r>
    </w:p>
    <w:p w:rsidR="00F102BD" w:rsidRPr="004E12EE" w:rsidRDefault="00F102BD" w:rsidP="00F102BD">
      <w:pPr>
        <w:spacing w:before="120" w:after="120" w:line="300" w:lineRule="atLeast"/>
        <w:ind w:firstLine="709"/>
        <w:jc w:val="both"/>
        <w:rPr>
          <w:sz w:val="28"/>
          <w:szCs w:val="28"/>
        </w:rPr>
      </w:pPr>
      <w:r w:rsidRPr="004E12EE">
        <w:rPr>
          <w:sz w:val="28"/>
          <w:szCs w:val="28"/>
        </w:rPr>
        <w:t>Điều 170 của Luật ban hành văn bản quy phạm pháp luật năm 2015 quy định: “Cơ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p>
    <w:p w:rsidR="00F102BD" w:rsidRDefault="00F102BD" w:rsidP="00F102BD">
      <w:pPr>
        <w:spacing w:before="120" w:after="120" w:line="300" w:lineRule="atLeast"/>
        <w:ind w:firstLine="709"/>
        <w:jc w:val="both"/>
        <w:rPr>
          <w:sz w:val="28"/>
          <w:szCs w:val="28"/>
        </w:rPr>
      </w:pPr>
      <w:r w:rsidRPr="004E12EE">
        <w:rPr>
          <w:sz w:val="28"/>
          <w:szCs w:val="28"/>
        </w:rPr>
        <w:t>Khoản 3 Điều 7 của Luật Đầu tư năm 2014</w:t>
      </w:r>
      <w:r>
        <w:rPr>
          <w:sz w:val="28"/>
          <w:szCs w:val="28"/>
        </w:rPr>
        <w:t xml:space="preserve"> </w:t>
      </w:r>
      <w:r w:rsidRPr="004E12EE">
        <w:rPr>
          <w:sz w:val="28"/>
          <w:szCs w:val="28"/>
        </w:rPr>
        <w:t>quy định “</w:t>
      </w:r>
      <w:r w:rsidRPr="004E12EE">
        <w:rPr>
          <w:i/>
          <w:sz w:val="28"/>
          <w:szCs w:val="28"/>
        </w:rPr>
        <w:t>Bộ, cơ quan ngang bộ, Hội đồng nhân dân, Ủy ban nhân dân các cấp, cơ quan, tổ chức, cá nhân khác không được ban hành quy định về điều kiện đầu tư kinh doanh</w:t>
      </w:r>
      <w:r w:rsidRPr="004E12EE">
        <w:rPr>
          <w:sz w:val="28"/>
          <w:szCs w:val="28"/>
        </w:rPr>
        <w:t>”. Đồng thời, khoản 3 Điều 74 của Luật Đầu tư năm 2014 quy định: “</w:t>
      </w:r>
      <w:r w:rsidRPr="004E12EE">
        <w:rPr>
          <w:i/>
          <w:sz w:val="28"/>
          <w:szCs w:val="28"/>
        </w:rPr>
        <w:t>Điều kiện đầu tư kinh doanh quy định tại các văn bản quy phạm pháp luật ban hành trước ngày Luật này có hiệu lực thi hành, trái với quy định tại khoản 3 Điều 7 của Luật này hết hiệu lực thi hành kể từ ngày 01 tháng 7 năm 2016</w:t>
      </w:r>
      <w:r w:rsidRPr="004E12EE">
        <w:rPr>
          <w:sz w:val="28"/>
          <w:szCs w:val="28"/>
        </w:rPr>
        <w:t xml:space="preserve">”. Theo đó, các quy định về điều kiện đầu tư kinh doanh đối với ngành, nghề quy định tại Điều 7 của Luật Đầu tư </w:t>
      </w:r>
      <w:r>
        <w:rPr>
          <w:sz w:val="28"/>
          <w:szCs w:val="28"/>
        </w:rPr>
        <w:t xml:space="preserve">năm 2014 </w:t>
      </w:r>
      <w:r w:rsidRPr="004E12EE">
        <w:rPr>
          <w:sz w:val="28"/>
          <w:szCs w:val="28"/>
        </w:rPr>
        <w:t xml:space="preserve">trong các văn bản do bộ, cơ quan ngang bộ, Hội đồng nhân dân, Ủy ban nhân dân các cấp, cơ quan tổ chức khác ban hành trước ngày Luật Đầu tư năm 2014 có hiệu lực thì sẽ hết hiệu lực kể từ ngày 01/7/2016. </w:t>
      </w:r>
    </w:p>
    <w:p w:rsidR="00F102BD" w:rsidRPr="00A47BB8" w:rsidRDefault="00F102BD" w:rsidP="00F102BD">
      <w:pPr>
        <w:spacing w:before="120" w:after="120" w:line="300" w:lineRule="atLeast"/>
        <w:ind w:firstLine="709"/>
        <w:jc w:val="both"/>
        <w:rPr>
          <w:spacing w:val="-4"/>
          <w:sz w:val="28"/>
          <w:szCs w:val="28"/>
        </w:rPr>
      </w:pPr>
      <w:r w:rsidRPr="00A47BB8">
        <w:rPr>
          <w:spacing w:val="-4"/>
          <w:sz w:val="28"/>
          <w:szCs w:val="28"/>
        </w:rPr>
        <w:t xml:space="preserve">Như vậy, việc rà soát văn bản để công bố hiệu lực nhằm bảo đảm tính công khai, minh bạch của hệ thống pháp luật và bảo đảm hiệu quả hoạt động của cơ quan nhà nước là cần thiết và đúng quy định của Luật ban hành văn bản quy phạm pháp luật năm 2015 và Luật đầu tư năm 2014. Chính vì vậy, ngày 11/7/2016, Bộ Tư pháp đã có Công văn số 2290/BTP-KTrVB gửi các bộ, ngành đề nghị rà soát, xác định và công bố các văn bản hết hiệu lực theo Luật Đầu tư năm 2014. </w:t>
      </w:r>
    </w:p>
    <w:p w:rsidR="00F102BD" w:rsidRDefault="00F102BD" w:rsidP="00F102BD">
      <w:pPr>
        <w:shd w:val="clear" w:color="auto" w:fill="FFFFFF"/>
        <w:spacing w:before="120" w:after="120" w:line="300" w:lineRule="atLeast"/>
        <w:ind w:firstLine="567"/>
        <w:jc w:val="both"/>
        <w:rPr>
          <w:sz w:val="28"/>
          <w:szCs w:val="28"/>
        </w:rPr>
      </w:pPr>
      <w:r w:rsidRPr="004E12EE">
        <w:rPr>
          <w:sz w:val="28"/>
          <w:szCs w:val="28"/>
        </w:rPr>
        <w:t xml:space="preserve">Đối với các văn bản cụ thể là Thông tư số 15/2012/TT-BYT ngày 12/9/2012 </w:t>
      </w:r>
      <w:r>
        <w:rPr>
          <w:sz w:val="28"/>
          <w:szCs w:val="28"/>
        </w:rPr>
        <w:t xml:space="preserve">của Bộ trưởng Bộ Y tế </w:t>
      </w:r>
      <w:r w:rsidRPr="004E12EE">
        <w:rPr>
          <w:sz w:val="28"/>
          <w:szCs w:val="28"/>
        </w:rPr>
        <w:t xml:space="preserve">quy định về điều kiện chung bảo đảm an toàn thực phẩm đối với cơ sở sản xuất, kinh doanh thực phẩm và Thông tư số 16/2012/TT-BYT ngày 22/10/2012 của Bộ trưởng Bộ Y tế quy định về điều kiện </w:t>
      </w:r>
      <w:r w:rsidRPr="004E12EE">
        <w:rPr>
          <w:sz w:val="28"/>
          <w:szCs w:val="28"/>
        </w:rPr>
        <w:lastRenderedPageBreak/>
        <w:t xml:space="preserve">an toàn thực phẩm đối với cơ sở sản xuất, kinh doanh thực phẩm, dụng cụ, vật liệu bao gói, chứa đựng thực phẩm thuộc phạm vi quản lý của Bộ Y tế, Bộ Tư pháp thấy rằng, căn cứ khoản 3 Điều 7 và khoản 3 Điều 74 của Luật Đầu tư năm 2014, </w:t>
      </w:r>
      <w:r w:rsidRPr="004E12EE">
        <w:rPr>
          <w:b/>
          <w:i/>
          <w:sz w:val="28"/>
          <w:szCs w:val="28"/>
        </w:rPr>
        <w:t>điều kiện đầu tư kinh doanh quy định tại hai Thông tư này được xác định là hết hiệu lực kể từ ngày 01/7/2016</w:t>
      </w:r>
      <w:r w:rsidRPr="004E12EE">
        <w:rPr>
          <w:sz w:val="28"/>
          <w:szCs w:val="28"/>
        </w:rPr>
        <w:t xml:space="preserve">. Do đó, Bộ Y tế cần rà soát, xác định </w:t>
      </w:r>
      <w:r w:rsidRPr="004E12EE">
        <w:rPr>
          <w:b/>
          <w:i/>
          <w:sz w:val="28"/>
          <w:szCs w:val="28"/>
        </w:rPr>
        <w:t>các quy định là điều kiện đầu tư kinh doanh</w:t>
      </w:r>
      <w:r w:rsidRPr="004E12EE">
        <w:rPr>
          <w:sz w:val="28"/>
          <w:szCs w:val="28"/>
        </w:rPr>
        <w:t xml:space="preserve"> tại hai Thông tư nêu trên để thực hiện việc công bố hết hiệu lực. Ngoài ra, đề nghị Bộ Y tế tiến hành rà soát kỹ lưỡng hệ thống văn bản thuộc thẩm quyền rà soát của mình để xác định, công bố các quy định, văn bản hết hiệu lực theo chuyên đề về điều kiện đầu tư kinh doanh bảo đảm đầy đủ, chính xác.</w:t>
      </w:r>
    </w:p>
    <w:p w:rsidR="00F102BD" w:rsidRPr="00CD72F3" w:rsidRDefault="00F102BD" w:rsidP="00F102BD">
      <w:pPr>
        <w:shd w:val="clear" w:color="auto" w:fill="FFFFFF"/>
        <w:spacing w:before="120" w:after="120" w:line="400" w:lineRule="atLeast"/>
        <w:ind w:firstLine="567"/>
        <w:jc w:val="both"/>
        <w:rPr>
          <w:sz w:val="28"/>
          <w:szCs w:val="28"/>
        </w:rPr>
      </w:pPr>
      <w:r w:rsidRPr="00CD72F3">
        <w:rPr>
          <w:sz w:val="28"/>
          <w:szCs w:val="28"/>
        </w:rPr>
        <w:t xml:space="preserve">Trên đây là ý kiến của Bộ Tư pháp </w:t>
      </w:r>
      <w:r w:rsidRPr="00CD72F3">
        <w:rPr>
          <w:spacing w:val="-4"/>
          <w:sz w:val="28"/>
          <w:szCs w:val="28"/>
        </w:rPr>
        <w:t xml:space="preserve">về việc công bố hết hiệu lực </w:t>
      </w:r>
      <w:r>
        <w:rPr>
          <w:spacing w:val="-4"/>
          <w:sz w:val="28"/>
          <w:szCs w:val="28"/>
        </w:rPr>
        <w:t>văn bản quy phạm pháp luật về điều kiện đầu tư kinh doanh lĩnh vực an toàn thực phẩm thuộc phạm vi quản lý của Bộ Y tế.</w:t>
      </w:r>
      <w:r w:rsidRPr="00CD72F3">
        <w:rPr>
          <w:sz w:val="28"/>
          <w:szCs w:val="28"/>
        </w:rPr>
        <w:t xml:space="preserve"> </w:t>
      </w:r>
    </w:p>
    <w:tbl>
      <w:tblPr>
        <w:tblW w:w="0" w:type="auto"/>
        <w:tblLook w:val="01E0" w:firstRow="1" w:lastRow="1" w:firstColumn="1" w:lastColumn="1" w:noHBand="0" w:noVBand="0"/>
      </w:tblPr>
      <w:tblGrid>
        <w:gridCol w:w="4638"/>
        <w:gridCol w:w="4650"/>
      </w:tblGrid>
      <w:tr w:rsidR="00F102BD" w:rsidRPr="00CD72F3" w:rsidTr="005D005F">
        <w:tc>
          <w:tcPr>
            <w:tcW w:w="4927" w:type="dxa"/>
          </w:tcPr>
          <w:p w:rsidR="00F102BD" w:rsidRPr="00CD72F3" w:rsidRDefault="00F102BD" w:rsidP="005D005F">
            <w:pPr>
              <w:spacing w:before="240"/>
              <w:rPr>
                <w:b/>
                <w:i/>
              </w:rPr>
            </w:pPr>
            <w:r w:rsidRPr="00CD72F3">
              <w:rPr>
                <w:b/>
                <w:i/>
              </w:rPr>
              <w:t>Nơi nhận:</w:t>
            </w:r>
          </w:p>
          <w:p w:rsidR="00F102BD" w:rsidRPr="00CD72F3" w:rsidRDefault="00F102BD" w:rsidP="005D005F">
            <w:r w:rsidRPr="00CD72F3">
              <w:rPr>
                <w:sz w:val="22"/>
                <w:szCs w:val="22"/>
              </w:rPr>
              <w:t>- Như trên;</w:t>
            </w:r>
          </w:p>
          <w:p w:rsidR="00F102BD" w:rsidRPr="00CD72F3" w:rsidRDefault="00F102BD" w:rsidP="005D005F">
            <w:r w:rsidRPr="00CD72F3">
              <w:rPr>
                <w:sz w:val="22"/>
                <w:szCs w:val="22"/>
              </w:rPr>
              <w:t>- Bộ trưởng (để b/c);</w:t>
            </w:r>
          </w:p>
          <w:p w:rsidR="00F102BD" w:rsidRPr="00CD72F3" w:rsidRDefault="00F102BD" w:rsidP="005D005F">
            <w:pPr>
              <w:rPr>
                <w:szCs w:val="28"/>
              </w:rPr>
            </w:pPr>
            <w:r w:rsidRPr="00CD72F3">
              <w:rPr>
                <w:sz w:val="22"/>
                <w:szCs w:val="22"/>
              </w:rPr>
              <w:t>- Lưu: VT, Vụ VĐCXDPL.</w:t>
            </w:r>
          </w:p>
        </w:tc>
        <w:tc>
          <w:tcPr>
            <w:tcW w:w="4927" w:type="dxa"/>
          </w:tcPr>
          <w:p w:rsidR="00F102BD" w:rsidRPr="00CD72F3" w:rsidRDefault="00F102BD" w:rsidP="005D005F">
            <w:pPr>
              <w:spacing w:before="240"/>
              <w:jc w:val="center"/>
              <w:rPr>
                <w:b/>
                <w:szCs w:val="28"/>
              </w:rPr>
            </w:pPr>
            <w:r w:rsidRPr="00CD72F3">
              <w:rPr>
                <w:b/>
                <w:sz w:val="28"/>
                <w:szCs w:val="28"/>
              </w:rPr>
              <w:t xml:space="preserve">KT. BỘ TRƯỞNG </w:t>
            </w:r>
          </w:p>
          <w:p w:rsidR="00F102BD" w:rsidRPr="00CD72F3" w:rsidRDefault="00F102BD" w:rsidP="005D005F">
            <w:pPr>
              <w:jc w:val="center"/>
              <w:rPr>
                <w:b/>
                <w:sz w:val="28"/>
                <w:szCs w:val="28"/>
              </w:rPr>
            </w:pPr>
            <w:r w:rsidRPr="00CD72F3">
              <w:rPr>
                <w:b/>
                <w:sz w:val="28"/>
                <w:szCs w:val="28"/>
              </w:rPr>
              <w:t>THỨ TRƯỞNG</w:t>
            </w:r>
          </w:p>
          <w:p w:rsidR="00F102BD" w:rsidRPr="00CD72F3" w:rsidRDefault="00F102BD" w:rsidP="005D005F">
            <w:pPr>
              <w:rPr>
                <w:b/>
                <w:szCs w:val="28"/>
              </w:rPr>
            </w:pPr>
          </w:p>
          <w:p w:rsidR="00F102BD" w:rsidRPr="00CD72F3" w:rsidRDefault="00F102BD" w:rsidP="005D005F">
            <w:pPr>
              <w:jc w:val="center"/>
              <w:rPr>
                <w:b/>
                <w:szCs w:val="28"/>
              </w:rPr>
            </w:pPr>
          </w:p>
          <w:p w:rsidR="00F102BD" w:rsidRPr="00422265" w:rsidRDefault="00422265" w:rsidP="005D005F">
            <w:pPr>
              <w:jc w:val="center"/>
              <w:rPr>
                <w:b/>
                <w:i/>
                <w:szCs w:val="28"/>
              </w:rPr>
            </w:pPr>
            <w:bookmarkStart w:id="0" w:name="_GoBack"/>
            <w:r w:rsidRPr="00422265">
              <w:rPr>
                <w:b/>
                <w:i/>
                <w:szCs w:val="28"/>
              </w:rPr>
              <w:t>(Đã ký)</w:t>
            </w:r>
          </w:p>
          <w:bookmarkEnd w:id="0"/>
          <w:p w:rsidR="00F102BD" w:rsidRPr="00CD72F3" w:rsidRDefault="00F102BD" w:rsidP="005D005F">
            <w:pPr>
              <w:jc w:val="center"/>
              <w:rPr>
                <w:b/>
                <w:szCs w:val="28"/>
              </w:rPr>
            </w:pPr>
          </w:p>
          <w:p w:rsidR="00F102BD" w:rsidRPr="00CD72F3" w:rsidRDefault="00F102BD" w:rsidP="005D005F">
            <w:pPr>
              <w:jc w:val="center"/>
              <w:rPr>
                <w:b/>
                <w:szCs w:val="28"/>
              </w:rPr>
            </w:pPr>
          </w:p>
          <w:p w:rsidR="00F102BD" w:rsidRPr="00CD72F3" w:rsidRDefault="00F102BD" w:rsidP="005D005F">
            <w:pPr>
              <w:rPr>
                <w:b/>
                <w:szCs w:val="28"/>
              </w:rPr>
            </w:pPr>
          </w:p>
          <w:p w:rsidR="00F102BD" w:rsidRPr="00CD72F3" w:rsidRDefault="00F102BD" w:rsidP="005D005F">
            <w:pPr>
              <w:jc w:val="center"/>
              <w:rPr>
                <w:szCs w:val="28"/>
              </w:rPr>
            </w:pPr>
            <w:r w:rsidRPr="00CD72F3">
              <w:rPr>
                <w:b/>
                <w:sz w:val="28"/>
                <w:szCs w:val="28"/>
              </w:rPr>
              <w:t>Phan Chí Hiếu</w:t>
            </w:r>
          </w:p>
        </w:tc>
      </w:tr>
    </w:tbl>
    <w:p w:rsidR="00F102BD" w:rsidRPr="00CD72F3" w:rsidRDefault="00F102BD" w:rsidP="00F102BD">
      <w:pPr>
        <w:spacing w:before="120" w:after="120"/>
        <w:jc w:val="both"/>
        <w:rPr>
          <w:sz w:val="28"/>
          <w:szCs w:val="28"/>
        </w:rPr>
      </w:pPr>
    </w:p>
    <w:p w:rsidR="009C2113" w:rsidRDefault="009C2113"/>
    <w:sectPr w:rsidR="009C2113" w:rsidSect="00F12ACF">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A2" w:rsidRDefault="00A05DA2">
      <w:r>
        <w:separator/>
      </w:r>
    </w:p>
  </w:endnote>
  <w:endnote w:type="continuationSeparator" w:id="0">
    <w:p w:rsidR="00A05DA2" w:rsidRDefault="00A0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C" w:rsidRDefault="00F102BD" w:rsidP="00E676F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30C" w:rsidRDefault="00A05DA2" w:rsidP="00E676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C" w:rsidRDefault="00F102BD" w:rsidP="00E676F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265">
      <w:rPr>
        <w:rStyle w:val="PageNumber"/>
        <w:noProof/>
      </w:rPr>
      <w:t>2</w:t>
    </w:r>
    <w:r>
      <w:rPr>
        <w:rStyle w:val="PageNumber"/>
      </w:rPr>
      <w:fldChar w:fldCharType="end"/>
    </w:r>
  </w:p>
  <w:p w:rsidR="0093230C" w:rsidRDefault="00A05DA2" w:rsidP="00E676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A2" w:rsidRDefault="00A05DA2">
      <w:r>
        <w:separator/>
      </w:r>
    </w:p>
  </w:footnote>
  <w:footnote w:type="continuationSeparator" w:id="0">
    <w:p w:rsidR="00A05DA2" w:rsidRDefault="00A05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BD"/>
    <w:rsid w:val="000220C1"/>
    <w:rsid w:val="00121DE3"/>
    <w:rsid w:val="001543C0"/>
    <w:rsid w:val="00156107"/>
    <w:rsid w:val="00172A86"/>
    <w:rsid w:val="001763C8"/>
    <w:rsid w:val="001E5CBE"/>
    <w:rsid w:val="002102AC"/>
    <w:rsid w:val="00224038"/>
    <w:rsid w:val="002413DC"/>
    <w:rsid w:val="0024339D"/>
    <w:rsid w:val="00265C46"/>
    <w:rsid w:val="002C5979"/>
    <w:rsid w:val="002E323C"/>
    <w:rsid w:val="00314266"/>
    <w:rsid w:val="00321A51"/>
    <w:rsid w:val="003241FB"/>
    <w:rsid w:val="003A6672"/>
    <w:rsid w:val="003C1A90"/>
    <w:rsid w:val="003C3F33"/>
    <w:rsid w:val="003D09C6"/>
    <w:rsid w:val="003D4604"/>
    <w:rsid w:val="003F5C11"/>
    <w:rsid w:val="00422265"/>
    <w:rsid w:val="004977A1"/>
    <w:rsid w:val="004B185E"/>
    <w:rsid w:val="004E04B8"/>
    <w:rsid w:val="005477B6"/>
    <w:rsid w:val="00572A0A"/>
    <w:rsid w:val="005E5FB2"/>
    <w:rsid w:val="005E6EEE"/>
    <w:rsid w:val="005F2C32"/>
    <w:rsid w:val="00664E1A"/>
    <w:rsid w:val="00670E61"/>
    <w:rsid w:val="006B7A73"/>
    <w:rsid w:val="006C75D2"/>
    <w:rsid w:val="006F3D87"/>
    <w:rsid w:val="00756757"/>
    <w:rsid w:val="00776857"/>
    <w:rsid w:val="007B4A82"/>
    <w:rsid w:val="007E4C11"/>
    <w:rsid w:val="00854394"/>
    <w:rsid w:val="008A08A0"/>
    <w:rsid w:val="008C57D8"/>
    <w:rsid w:val="0096441C"/>
    <w:rsid w:val="009C2113"/>
    <w:rsid w:val="009F7EBD"/>
    <w:rsid w:val="00A05DA2"/>
    <w:rsid w:val="00A47BB8"/>
    <w:rsid w:val="00A903F5"/>
    <w:rsid w:val="00A91C36"/>
    <w:rsid w:val="00AA1E16"/>
    <w:rsid w:val="00AB3875"/>
    <w:rsid w:val="00AB740E"/>
    <w:rsid w:val="00AF41ED"/>
    <w:rsid w:val="00B058FC"/>
    <w:rsid w:val="00B33132"/>
    <w:rsid w:val="00B64928"/>
    <w:rsid w:val="00B84D09"/>
    <w:rsid w:val="00B91EB7"/>
    <w:rsid w:val="00BA6484"/>
    <w:rsid w:val="00BB2A71"/>
    <w:rsid w:val="00BC07F6"/>
    <w:rsid w:val="00BC67F2"/>
    <w:rsid w:val="00C11C39"/>
    <w:rsid w:val="00C25811"/>
    <w:rsid w:val="00C519FD"/>
    <w:rsid w:val="00C57796"/>
    <w:rsid w:val="00C61108"/>
    <w:rsid w:val="00C77F43"/>
    <w:rsid w:val="00CD59F3"/>
    <w:rsid w:val="00D85C81"/>
    <w:rsid w:val="00DB78D7"/>
    <w:rsid w:val="00DD1449"/>
    <w:rsid w:val="00E314A2"/>
    <w:rsid w:val="00F102BD"/>
    <w:rsid w:val="00F136D5"/>
    <w:rsid w:val="00F2116B"/>
    <w:rsid w:val="00F375B3"/>
    <w:rsid w:val="00F4432D"/>
    <w:rsid w:val="00FD3D1F"/>
    <w:rsid w:val="00FF2D69"/>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BD"/>
    <w:pPr>
      <w:spacing w:before="0" w:after="0" w:line="240" w:lineRule="auto"/>
      <w:ind w:firstLine="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02BD"/>
    <w:pPr>
      <w:tabs>
        <w:tab w:val="center" w:pos="4320"/>
        <w:tab w:val="right" w:pos="8640"/>
      </w:tabs>
    </w:pPr>
    <w:rPr>
      <w:rFonts w:eastAsia="Times New Roman"/>
    </w:rPr>
  </w:style>
  <w:style w:type="character" w:customStyle="1" w:styleId="FooterChar">
    <w:name w:val="Footer Char"/>
    <w:basedOn w:val="DefaultParagraphFont"/>
    <w:link w:val="Footer"/>
    <w:rsid w:val="00F102BD"/>
    <w:rPr>
      <w:rFonts w:ascii="Times New Roman" w:eastAsia="Times New Roman" w:hAnsi="Times New Roman" w:cs="Times New Roman"/>
      <w:sz w:val="24"/>
      <w:szCs w:val="24"/>
    </w:rPr>
  </w:style>
  <w:style w:type="character" w:styleId="PageNumber">
    <w:name w:val="page number"/>
    <w:rsid w:val="00F102B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BD"/>
    <w:pPr>
      <w:spacing w:before="0" w:after="0" w:line="240" w:lineRule="auto"/>
      <w:ind w:firstLine="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02BD"/>
    <w:pPr>
      <w:tabs>
        <w:tab w:val="center" w:pos="4320"/>
        <w:tab w:val="right" w:pos="8640"/>
      </w:tabs>
    </w:pPr>
    <w:rPr>
      <w:rFonts w:eastAsia="Times New Roman"/>
    </w:rPr>
  </w:style>
  <w:style w:type="character" w:customStyle="1" w:styleId="FooterChar">
    <w:name w:val="Footer Char"/>
    <w:basedOn w:val="DefaultParagraphFont"/>
    <w:link w:val="Footer"/>
    <w:rsid w:val="00F102BD"/>
    <w:rPr>
      <w:rFonts w:ascii="Times New Roman" w:eastAsia="Times New Roman" w:hAnsi="Times New Roman" w:cs="Times New Roman"/>
      <w:sz w:val="24"/>
      <w:szCs w:val="24"/>
    </w:rPr>
  </w:style>
  <w:style w:type="character" w:styleId="PageNumber">
    <w:name w:val="page number"/>
    <w:rsid w:val="00F102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DE31B-940B-4CC9-909D-15A64CCA1240}"/>
</file>

<file path=customXml/itemProps2.xml><?xml version="1.0" encoding="utf-8"?>
<ds:datastoreItem xmlns:ds="http://schemas.openxmlformats.org/officeDocument/2006/customXml" ds:itemID="{B65E30C2-8132-4FE1-985E-A77B97E7960C}"/>
</file>

<file path=customXml/itemProps3.xml><?xml version="1.0" encoding="utf-8"?>
<ds:datastoreItem xmlns:ds="http://schemas.openxmlformats.org/officeDocument/2006/customXml" ds:itemID="{99B95A4F-AF39-42BE-B6DE-A19523320441}"/>
</file>

<file path=docProps/app.xml><?xml version="1.0" encoding="utf-8"?>
<Properties xmlns="http://schemas.openxmlformats.org/officeDocument/2006/extended-properties" xmlns:vt="http://schemas.openxmlformats.org/officeDocument/2006/docPropsVTypes">
  <Template>Normal</Template>
  <TotalTime>79</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ductv</cp:lastModifiedBy>
  <cp:revision>7</cp:revision>
  <cp:lastPrinted>2017-01-18T18:46:00Z</cp:lastPrinted>
  <dcterms:created xsi:type="dcterms:W3CDTF">2017-01-16T18:12:00Z</dcterms:created>
  <dcterms:modified xsi:type="dcterms:W3CDTF">2017-12-22T08:30:00Z</dcterms:modified>
</cp:coreProperties>
</file>